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5C2A3A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60pt" o:ole="" filled="t">
            <v:fill color2="black"/>
            <v:imagedata r:id="rId7" o:title=""/>
          </v:shape>
          <o:OLEObject Type="Embed" ProgID="Word.Document.8" ShapeID="_x0000_i1025" DrawAspect="Content" ObjectID="_1657708926" r:id="rId8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</w:t>
      </w:r>
      <w:r w:rsidR="00B96B3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30449" w:rsidRPr="00A30449">
        <w:rPr>
          <w:rFonts w:ascii="Times New Roman" w:hAnsi="Times New Roman" w:cs="Times New Roman"/>
          <w:i w:val="0"/>
          <w:sz w:val="28"/>
          <w:szCs w:val="28"/>
          <w:u w:val="single"/>
        </w:rPr>
        <w:t>29.07</w:t>
      </w:r>
      <w:r w:rsidR="00CD4939" w:rsidRPr="00A30449">
        <w:rPr>
          <w:rFonts w:ascii="Times New Roman" w:hAnsi="Times New Roman" w:cs="Times New Roman"/>
          <w:i w:val="0"/>
          <w:sz w:val="28"/>
          <w:szCs w:val="28"/>
          <w:u w:val="single"/>
        </w:rPr>
        <w:t>.</w:t>
      </w:r>
      <w:r w:rsidR="00CD4939">
        <w:rPr>
          <w:rFonts w:ascii="Times New Roman" w:hAnsi="Times New Roman" w:cs="Times New Roman"/>
          <w:i w:val="0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 № </w:t>
      </w:r>
      <w:r w:rsidR="00A30449" w:rsidRPr="00A30449">
        <w:rPr>
          <w:rFonts w:ascii="Times New Roman" w:hAnsi="Times New Roman" w:cs="Times New Roman"/>
          <w:i w:val="0"/>
          <w:sz w:val="28"/>
          <w:szCs w:val="28"/>
          <w:u w:val="single"/>
        </w:rPr>
        <w:t>247</w:t>
      </w: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Железково</w:t>
      </w:r>
      <w:proofErr w:type="spellEnd"/>
    </w:p>
    <w:p w:rsidR="00D469BA" w:rsidRDefault="00D469BA" w:rsidP="00D469BA">
      <w:pPr>
        <w:pStyle w:val="4"/>
      </w:pPr>
    </w:p>
    <w:p w:rsid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Положения о </w:t>
      </w:r>
      <w:r>
        <w:rPr>
          <w:b/>
          <w:color w:val="000000"/>
          <w:sz w:val="28"/>
          <w:szCs w:val="28"/>
        </w:rPr>
        <w:t xml:space="preserve">порядке </w:t>
      </w:r>
      <w:r>
        <w:rPr>
          <w:rFonts w:eastAsia="Calibri"/>
          <w:b/>
          <w:sz w:val="28"/>
          <w:szCs w:val="28"/>
          <w:lang w:eastAsia="en-US"/>
        </w:rPr>
        <w:t xml:space="preserve">формирования, ведения </w:t>
      </w:r>
    </w:p>
    <w:p w:rsid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</w:t>
      </w:r>
    </w:p>
    <w:p w:rsid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предпринимательства в Российской Федерации»</w:t>
      </w:r>
    </w:p>
    <w:p w:rsidR="00C41DA5" w:rsidRDefault="00C41DA5" w:rsidP="00C41DA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41DA5" w:rsidRDefault="00C41DA5" w:rsidP="00C41DA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96B38" w:rsidRDefault="00C41DA5" w:rsidP="00C41DA5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C41DA5">
          <w:rPr>
            <w:rStyle w:val="a4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 июля 2007 года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(в редакции от 18.05.2019) «</w:t>
      </w:r>
      <w:r>
        <w:rPr>
          <w:rFonts w:eastAsia="Calibri"/>
          <w:sz w:val="28"/>
          <w:szCs w:val="28"/>
          <w:lang w:eastAsia="en-US"/>
        </w:rPr>
        <w:t xml:space="preserve">Об имущественной поддержке субъектов малого и среднего предпринимательства при предоставлении федерального имущества» (вместе с Правилами </w:t>
      </w:r>
      <w:proofErr w:type="spellStart"/>
      <w:r>
        <w:rPr>
          <w:rFonts w:eastAsia="Calibri"/>
          <w:sz w:val="28"/>
          <w:szCs w:val="28"/>
          <w:lang w:eastAsia="en-US"/>
        </w:rPr>
        <w:t>форми-рования</w:t>
      </w:r>
      <w:proofErr w:type="spellEnd"/>
      <w:r>
        <w:rPr>
          <w:rFonts w:eastAsia="Calibri"/>
          <w:sz w:val="28"/>
          <w:szCs w:val="28"/>
          <w:lang w:eastAsia="en-US"/>
        </w:rPr>
        <w:t>, ведения и обязательного опубликования перечня федерального имущества, свободного от прав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третьих лиц (за исключением права </w:t>
      </w:r>
      <w:proofErr w:type="spellStart"/>
      <w:r>
        <w:rPr>
          <w:rFonts w:eastAsia="Calibri"/>
          <w:sz w:val="28"/>
          <w:szCs w:val="28"/>
          <w:lang w:eastAsia="en-US"/>
        </w:rPr>
        <w:t>хозяйст-венного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Федерации»)</w:t>
      </w:r>
      <w:r>
        <w:rPr>
          <w:sz w:val="28"/>
          <w:szCs w:val="28"/>
        </w:rPr>
        <w:t xml:space="preserve">, в целях создания условий для оказания имущественной поддержки субъектам малого и среднего предпринимательства на территории </w:t>
      </w:r>
      <w:r w:rsidR="00B96B38" w:rsidRPr="00B96B38">
        <w:rPr>
          <w:sz w:val="28"/>
          <w:szCs w:val="28"/>
        </w:rPr>
        <w:t xml:space="preserve">Железковского сельского поселения </w:t>
      </w:r>
      <w:r w:rsidR="00B96B38">
        <w:rPr>
          <w:b/>
          <w:bCs/>
          <w:sz w:val="28"/>
          <w:szCs w:val="28"/>
        </w:rPr>
        <w:t>Совет депутатов Железковского  сельского поселения второго созыва</w:t>
      </w:r>
      <w:proofErr w:type="gramEnd"/>
    </w:p>
    <w:p w:rsidR="00B96B38" w:rsidRDefault="00B96B38" w:rsidP="00B96B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C41DA5" w:rsidRDefault="00C41DA5" w:rsidP="00C41DA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прилагаемое</w:t>
      </w:r>
      <w:r>
        <w:rPr>
          <w:color w:val="000000"/>
          <w:sz w:val="28"/>
          <w:szCs w:val="28"/>
        </w:rPr>
        <w:t xml:space="preserve"> Положение о порядке </w:t>
      </w:r>
      <w:r>
        <w:rPr>
          <w:rFonts w:eastAsia="Calibri"/>
          <w:sz w:val="28"/>
          <w:szCs w:val="28"/>
          <w:lang w:eastAsia="en-US"/>
        </w:rPr>
        <w:t xml:space="preserve">формирования, ведения и обязательного опубликования перечня муниципального </w:t>
      </w:r>
      <w:r>
        <w:rPr>
          <w:rFonts w:eastAsia="Calibri"/>
          <w:sz w:val="28"/>
          <w:szCs w:val="28"/>
          <w:lang w:eastAsia="en-US"/>
        </w:rPr>
        <w:lastRenderedPageBreak/>
        <w:t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proofErr w:type="gramEnd"/>
    </w:p>
    <w:p w:rsidR="00B96B38" w:rsidRDefault="00B96B38" w:rsidP="00B96B38">
      <w:pPr>
        <w:pStyle w:val="ConsPlusNormal"/>
        <w:widowControl/>
        <w:tabs>
          <w:tab w:val="left" w:pos="6169"/>
        </w:tabs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Опубликовать данное решение в бюллетене « Официальный вестник </w:t>
      </w:r>
      <w:r w:rsidRPr="00B96B38">
        <w:rPr>
          <w:rFonts w:ascii="Times New Roman" w:hAnsi="Times New Roman" w:cs="Times New Roman"/>
          <w:sz w:val="28"/>
          <w:szCs w:val="28"/>
        </w:rPr>
        <w:t>Железковского</w:t>
      </w:r>
      <w:r w:rsidRPr="00B96B38">
        <w:rPr>
          <w:rFonts w:ascii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</w:t>
      </w:r>
      <w:r w:rsidRPr="00B96B38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B96B38" w:rsidRDefault="00B96B38" w:rsidP="00B96B38">
      <w:pPr>
        <w:rPr>
          <w:b/>
          <w:sz w:val="28"/>
          <w:szCs w:val="28"/>
        </w:rPr>
      </w:pPr>
    </w:p>
    <w:p w:rsidR="00B96B38" w:rsidRDefault="00B96B38" w:rsidP="00B96B38">
      <w:pPr>
        <w:rPr>
          <w:sz w:val="28"/>
          <w:szCs w:val="28"/>
        </w:rPr>
      </w:pPr>
    </w:p>
    <w:p w:rsidR="00B96B38" w:rsidRDefault="00B96B38" w:rsidP="00B96B3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</w:p>
    <w:p w:rsidR="00C41DA5" w:rsidRDefault="00C41DA5" w:rsidP="00C41DA5">
      <w:pPr>
        <w:widowControl w:val="0"/>
        <w:autoSpaceDE w:val="0"/>
        <w:autoSpaceDN w:val="0"/>
        <w:adjustRightInd w:val="0"/>
        <w:spacing w:before="120" w:after="120" w:line="240" w:lineRule="exact"/>
        <w:ind w:left="6237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Утверждено</w:t>
      </w:r>
    </w:p>
    <w:p w:rsidR="00C41DA5" w:rsidRDefault="00C41DA5" w:rsidP="00C41DA5">
      <w:pPr>
        <w:widowControl w:val="0"/>
        <w:autoSpaceDE w:val="0"/>
        <w:autoSpaceDN w:val="0"/>
        <w:adjustRightInd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от </w:t>
      </w:r>
      <w:r w:rsidR="00A30449">
        <w:rPr>
          <w:sz w:val="28"/>
          <w:szCs w:val="28"/>
        </w:rPr>
        <w:t>29.07.2020 № 247</w:t>
      </w:r>
    </w:p>
    <w:p w:rsidR="00C41DA5" w:rsidRDefault="00C41DA5" w:rsidP="00C41DA5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41DA5" w:rsidRP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1DA5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C41DA5" w:rsidRP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41DA5">
        <w:rPr>
          <w:b/>
          <w:sz w:val="28"/>
          <w:szCs w:val="28"/>
        </w:rPr>
        <w:t>о</w:t>
      </w:r>
      <w:r w:rsidRPr="00C41DA5">
        <w:rPr>
          <w:b/>
          <w:color w:val="000000"/>
          <w:sz w:val="28"/>
          <w:szCs w:val="28"/>
        </w:rPr>
        <w:t xml:space="preserve"> порядке </w:t>
      </w:r>
      <w:r w:rsidRPr="00C41DA5">
        <w:rPr>
          <w:rFonts w:eastAsia="Calibri"/>
          <w:b/>
          <w:sz w:val="28"/>
          <w:szCs w:val="28"/>
          <w:lang w:eastAsia="en-US"/>
        </w:rPr>
        <w:t xml:space="preserve">формирования, ведения и обязательного опубликования </w:t>
      </w:r>
    </w:p>
    <w:p w:rsidR="00C41DA5" w:rsidRP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41DA5">
        <w:rPr>
          <w:rFonts w:eastAsia="Calibri"/>
          <w:b/>
          <w:sz w:val="28"/>
          <w:szCs w:val="28"/>
          <w:lang w:eastAsia="en-US"/>
        </w:rPr>
        <w:t xml:space="preserve">перечня муниципального имущества, свободного от прав третьих </w:t>
      </w:r>
    </w:p>
    <w:p w:rsidR="00C41DA5" w:rsidRPr="00C41DA5" w:rsidRDefault="00C41DA5" w:rsidP="00C41D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41DA5">
        <w:rPr>
          <w:rFonts w:eastAsia="Calibri"/>
          <w:b/>
          <w:sz w:val="28"/>
          <w:szCs w:val="28"/>
          <w:lang w:eastAsia="en-US"/>
        </w:rPr>
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C41DA5" w:rsidRDefault="00C41DA5" w:rsidP="00C41DA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Par68"/>
      <w:bookmarkEnd w:id="1"/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в отношении муниципального имущества не принято решение Администрации Железковского сельского поселения о предоставлении его иным лицам;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ж) муниципальное имущество не признано аварийным и подлежащим сносу или реконструкции;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1-10, 13-15, 18,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Железковского сельского поселения на включение муниципального имущества в перечень;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0" w:history="1">
        <w:r>
          <w:rPr>
            <w:rStyle w:val="a4"/>
            <w:rFonts w:eastAsia="Calibri"/>
            <w:color w:val="000000"/>
            <w:lang w:eastAsia="en-US"/>
          </w:rPr>
          <w:t>перечень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Железковского сельского поселения (далее уполномоченный орган) об утверждении перечня или о внесении в него изменений на основе предложений структурных подразделений Администрации Железковского сельского поселения, муниципальных унитарных предприятий, муниципальных учреждений, владеющих муниципальным  имуществом на праве хозяйственного ведения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внесения изменений в реестр муниципального имущества в отношении муниципального имущества, включенного в перечень, внесение соответствующих изменений в отношении муниципального имущества в перечень</w:t>
      </w:r>
      <w:r>
        <w:rPr>
          <w:color w:val="000000"/>
          <w:sz w:val="28"/>
          <w:szCs w:val="28"/>
        </w:rPr>
        <w:t xml:space="preserve"> обеспечивается </w:t>
      </w:r>
      <w:r>
        <w:rPr>
          <w:rFonts w:eastAsia="Calibri"/>
          <w:color w:val="000000"/>
          <w:sz w:val="28"/>
          <w:szCs w:val="28"/>
          <w:lang w:eastAsia="en-US"/>
        </w:rPr>
        <w:t>в течение 10 дней уполномоченным органом.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 Рассмотрение предложения, указанного в </w:t>
      </w:r>
      <w:hyperlink r:id="rId11" w:anchor="Par68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пункте 3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осуществляется комиссией по распоряжению муниципальным имуществом Администрации Железковского сельского поселения в течение 30 календарных дней </w:t>
      </w:r>
      <w:proofErr w:type="gramStart"/>
      <w:r w:rsidRPr="00C41DA5">
        <w:rPr>
          <w:rFonts w:eastAsia="Calibri"/>
          <w:color w:val="000000"/>
          <w:sz w:val="28"/>
          <w:szCs w:val="28"/>
          <w:lang w:eastAsia="en-US"/>
        </w:rPr>
        <w:t>с даты</w:t>
      </w:r>
      <w:proofErr w:type="gramEnd"/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2" w:anchor="Par60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пунктом 2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3" w:anchor="Par75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пунктов 6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14" w:anchor="Par78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7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в) об отказе в учете предложения.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r:id="rId15" w:anchor="Par68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пункте 3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2" w:name="Par75"/>
      <w:bookmarkEnd w:id="2"/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6. </w:t>
      </w:r>
      <w:bookmarkStart w:id="3" w:name="Par78"/>
      <w:bookmarkEnd w:id="3"/>
      <w:r w:rsidRPr="00C41DA5">
        <w:rPr>
          <w:rFonts w:eastAsia="Calibri"/>
          <w:color w:val="000000"/>
          <w:sz w:val="28"/>
          <w:szCs w:val="28"/>
          <w:lang w:eastAsia="en-US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 кодексом Российской Федерации.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17" w:history="1">
        <w:r w:rsidRPr="00C41DA5">
          <w:rPr>
            <w:rStyle w:val="a4"/>
            <w:rFonts w:eastAsia="Calibri"/>
            <w:color w:val="000000"/>
            <w:sz w:val="28"/>
            <w:szCs w:val="28"/>
          </w:rPr>
          <w:t>пунктом 2</w:t>
        </w:r>
      </w:hyperlink>
      <w:r w:rsidRPr="00C41DA5">
        <w:rPr>
          <w:rFonts w:eastAsia="Calibri"/>
          <w:color w:val="000000"/>
          <w:sz w:val="28"/>
          <w:szCs w:val="28"/>
        </w:rPr>
        <w:t xml:space="preserve"> настоящего Положения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8. Сведения о муниципальном имуществе вносятся в </w:t>
      </w:r>
      <w:hyperlink r:id="rId18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hyperlink r:id="rId19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составе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и по </w:t>
      </w:r>
      <w:hyperlink r:id="rId20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форме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, которые установлены в соответствии с </w:t>
      </w:r>
      <w:hyperlink r:id="rId21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частью 4.4 статьи 18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41DA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Федерального закона </w:t>
      </w:r>
      <w:r w:rsidRPr="00C41DA5">
        <w:rPr>
          <w:color w:val="000000"/>
          <w:sz w:val="28"/>
          <w:szCs w:val="28"/>
        </w:rPr>
        <w:t>24 июля 2007 года № 209-ФЗ «</w:t>
      </w:r>
      <w:r w:rsidRPr="00C41DA5">
        <w:rPr>
          <w:rFonts w:eastAsia="Calibri"/>
          <w:color w:val="000000"/>
          <w:sz w:val="28"/>
          <w:szCs w:val="28"/>
          <w:lang w:eastAsia="en-US"/>
        </w:rPr>
        <w:t>О развитии малого и среднего предпринимательства в Российской Федерации».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9. Сведения о муниципальном имуществе группируются в перечне по 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11. </w:t>
      </w:r>
      <w:hyperlink r:id="rId22" w:history="1">
        <w:r w:rsidRPr="00C41DA5">
          <w:rPr>
            <w:rStyle w:val="a4"/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C41DA5">
        <w:rPr>
          <w:rFonts w:eastAsia="Calibri"/>
          <w:color w:val="000000"/>
          <w:sz w:val="28"/>
          <w:szCs w:val="28"/>
          <w:lang w:eastAsia="en-US"/>
        </w:rPr>
        <w:t xml:space="preserve"> и внесенные в него изменения подлежат: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C41DA5" w:rsidRPr="00C41DA5" w:rsidRDefault="00C41DA5" w:rsidP="00C41DA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1DA5">
        <w:rPr>
          <w:rFonts w:eastAsia="Calibri"/>
          <w:color w:val="000000"/>
          <w:sz w:val="28"/>
          <w:szCs w:val="28"/>
          <w:lang w:eastAsia="en-US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– в течение 3 рабочих дней со дня утверждения.</w:t>
      </w:r>
    </w:p>
    <w:p w:rsidR="00C41DA5" w:rsidRPr="00C41DA5" w:rsidRDefault="00C41DA5" w:rsidP="00C41DA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1DA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0FA1" w:rsidRDefault="00530FA1" w:rsidP="00C41DA5">
      <w:pPr>
        <w:jc w:val="right"/>
        <w:rPr>
          <w:b/>
          <w:bCs/>
          <w:sz w:val="28"/>
          <w:szCs w:val="28"/>
        </w:rPr>
      </w:pPr>
    </w:p>
    <w:sectPr w:rsidR="00530FA1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F6" w:rsidRDefault="005D2CF6" w:rsidP="00B96B38">
      <w:r>
        <w:separator/>
      </w:r>
    </w:p>
  </w:endnote>
  <w:endnote w:type="continuationSeparator" w:id="0">
    <w:p w:rsidR="005D2CF6" w:rsidRDefault="005D2CF6" w:rsidP="00B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F6" w:rsidRDefault="005D2CF6" w:rsidP="00B96B38">
      <w:r>
        <w:separator/>
      </w:r>
    </w:p>
  </w:footnote>
  <w:footnote w:type="continuationSeparator" w:id="0">
    <w:p w:rsidR="005D2CF6" w:rsidRDefault="005D2CF6" w:rsidP="00B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9123A9"/>
    <w:multiLevelType w:val="hybridMultilevel"/>
    <w:tmpl w:val="652C9E68"/>
    <w:lvl w:ilvl="0" w:tplc="88BC22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E963D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3C0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8A1E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6237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346A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2E56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7C7B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18AE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BA"/>
    <w:rsid w:val="00027AC3"/>
    <w:rsid w:val="00042744"/>
    <w:rsid w:val="00046367"/>
    <w:rsid w:val="00047677"/>
    <w:rsid w:val="0010079B"/>
    <w:rsid w:val="00151518"/>
    <w:rsid w:val="0015378B"/>
    <w:rsid w:val="00162A3D"/>
    <w:rsid w:val="001651B7"/>
    <w:rsid w:val="001D344F"/>
    <w:rsid w:val="003B5A04"/>
    <w:rsid w:val="003D2F8C"/>
    <w:rsid w:val="00432DB5"/>
    <w:rsid w:val="0043376B"/>
    <w:rsid w:val="00451625"/>
    <w:rsid w:val="004967D4"/>
    <w:rsid w:val="00501F8D"/>
    <w:rsid w:val="00530FA1"/>
    <w:rsid w:val="005C2A3A"/>
    <w:rsid w:val="005D2CF6"/>
    <w:rsid w:val="0096386E"/>
    <w:rsid w:val="00A26F20"/>
    <w:rsid w:val="00A30449"/>
    <w:rsid w:val="00A86514"/>
    <w:rsid w:val="00A8668E"/>
    <w:rsid w:val="00AE48E4"/>
    <w:rsid w:val="00B11F8C"/>
    <w:rsid w:val="00B93965"/>
    <w:rsid w:val="00B96B38"/>
    <w:rsid w:val="00C06159"/>
    <w:rsid w:val="00C41DA5"/>
    <w:rsid w:val="00C8029F"/>
    <w:rsid w:val="00CD4939"/>
    <w:rsid w:val="00D143BA"/>
    <w:rsid w:val="00D469BA"/>
    <w:rsid w:val="00D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6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6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B96B38"/>
    <w:pPr>
      <w:spacing w:before="100" w:beforeAutospacing="1" w:after="180" w:line="33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proekt_polozheniya%201.doc" TargetMode="External"/><Relationship Id="rId18" Type="http://schemas.openxmlformats.org/officeDocument/2006/relationships/hyperlink" Target="consultantplus://offline/ref=96C055D950CB093ECC861C199FEF809FFCF7A2B8BA1F6F1200CB16718B8123503197C083DF93518868j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C055D950CB093ECC861C199FEF809FFFFFA4BFBC1F6F1200CB16718B8123503197C083DF93528D68j7N" TargetMode="External"/><Relationship Id="rId7" Type="http://schemas.openxmlformats.org/officeDocument/2006/relationships/image" Target="media/image1.emf"/><Relationship Id="rId1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proekt_polozheniya%201.doc" TargetMode="External"/><Relationship Id="rId17" Type="http://schemas.openxmlformats.org/officeDocument/2006/relationships/hyperlink" Target="consultantplus://offline/ref=6290698C16CC80002211FFC27872C4DE4FC93A522B6022D9DF7DB2097C6F62ED8245046FB8939FAEE65F15D4020681EC8B376C68BE82CDB672E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C055D950CB093ECC861C199FEF809FFCF7A2B8BA1F6F1200CB16718B8123503197C083DF93518868j4N" TargetMode="External"/><Relationship Id="rId20" Type="http://schemas.openxmlformats.org/officeDocument/2006/relationships/hyperlink" Target="consultantplus://offline/ref=96C055D950CB093ECC861C199FEF809FFCF6A5BDBE126F1200CB16718B8123503197C083DF93518B68j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proekt_polozheniya%201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proekt_polozheniya%201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6C055D950CB093ECC861C199FEF809FFCF7A2B8BA1F6F1200CB16718B8123503197C083DF93518868j4N" TargetMode="External"/><Relationship Id="rId19" Type="http://schemas.openxmlformats.org/officeDocument/2006/relationships/hyperlink" Target="consultantplus://offline/ref=96C055D950CB093ECC861C199FEF809FFCF6A5BDBE126F1200CB16718B8123503197C083DF93508A68j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8BF95ED6B7FFAD000191D8279C032AF94B63289EF3332F8AFD6ABBE082771308427450D4FD07Ei7k5N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0\&#1087;&#1088;&#1086;&#1077;&#1082;&#1090;&#1099;\proekt_polozheniya%201.doc" TargetMode="External"/><Relationship Id="rId22" Type="http://schemas.openxmlformats.org/officeDocument/2006/relationships/hyperlink" Target="consultantplus://offline/ref=96C055D950CB093ECC861C199FEF809FFCF7A2B8BA1F6F1200CB16718B8123503197C083DF93518868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23</cp:revision>
  <cp:lastPrinted>2020-07-31T10:55:00Z</cp:lastPrinted>
  <dcterms:created xsi:type="dcterms:W3CDTF">2019-01-28T06:06:00Z</dcterms:created>
  <dcterms:modified xsi:type="dcterms:W3CDTF">2020-07-31T10:56:00Z</dcterms:modified>
</cp:coreProperties>
</file>